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80" w:rsidRPr="007D004A" w:rsidRDefault="00600FF7" w:rsidP="007D004A">
      <w:pPr>
        <w:spacing w:after="10"/>
        <w:ind w:left="-874" w:firstLineChars="100" w:firstLine="210"/>
        <w:rPr>
          <w:rFonts w:eastAsiaTheme="minorEastAsia"/>
        </w:rPr>
      </w:pPr>
      <w:r>
        <w:rPr>
          <w:rFonts w:asciiTheme="minorEastAsia" w:eastAsiaTheme="minorEastAsia" w:hAnsiTheme="minorEastAsia" w:cs="Microsoft YaHei" w:hint="eastAsia"/>
          <w:sz w:val="21"/>
        </w:rPr>
        <w:t>〈</w:t>
      </w:r>
      <w:r w:rsidR="007D004A">
        <w:rPr>
          <w:rFonts w:ascii="Microsoft YaHei" w:eastAsia="Microsoft YaHei" w:hAnsi="Microsoft YaHei" w:cs="Microsoft YaHei"/>
          <w:sz w:val="21"/>
        </w:rPr>
        <w:t>様式４</w:t>
      </w:r>
      <w:r>
        <w:rPr>
          <w:rFonts w:asciiTheme="minorEastAsia" w:eastAsiaTheme="minorEastAsia" w:hAnsiTheme="minorEastAsia" w:cs="Microsoft YaHei" w:hint="eastAsia"/>
          <w:sz w:val="21"/>
        </w:rPr>
        <w:t>〉</w:t>
      </w:r>
      <w:bookmarkStart w:id="0" w:name="_GoBack"/>
      <w:bookmarkEnd w:id="0"/>
    </w:p>
    <w:p w:rsidR="00684580" w:rsidRDefault="00A868B7">
      <w:pPr>
        <w:pStyle w:val="1"/>
      </w:pPr>
      <w:r>
        <w:t>居宅介護支援費の状況</w:t>
      </w:r>
    </w:p>
    <w:tbl>
      <w:tblPr>
        <w:tblStyle w:val="a9"/>
        <w:tblpPr w:leftFromText="142" w:rightFromText="142" w:vertAnchor="text" w:horzAnchor="margin" w:tblpY="206"/>
        <w:tblW w:w="4947" w:type="pct"/>
        <w:tblLook w:val="04A0" w:firstRow="1" w:lastRow="0" w:firstColumn="1" w:lastColumn="0" w:noHBand="0" w:noVBand="1"/>
      </w:tblPr>
      <w:tblGrid>
        <w:gridCol w:w="1175"/>
        <w:gridCol w:w="1288"/>
        <w:gridCol w:w="4020"/>
        <w:gridCol w:w="4244"/>
        <w:gridCol w:w="4451"/>
        <w:gridCol w:w="2969"/>
        <w:gridCol w:w="2555"/>
      </w:tblGrid>
      <w:tr w:rsidR="00193274" w:rsidRPr="00E519B1" w:rsidTr="00B517B0">
        <w:trPr>
          <w:trHeight w:val="286"/>
        </w:trPr>
        <w:tc>
          <w:tcPr>
            <w:tcW w:w="284" w:type="pct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年　月</w:t>
            </w:r>
          </w:p>
        </w:tc>
        <w:tc>
          <w:tcPr>
            <w:tcW w:w="311" w:type="pct"/>
          </w:tcPr>
          <w:p w:rsidR="00193274" w:rsidRPr="00E519B1" w:rsidRDefault="00193274" w:rsidP="00B517B0">
            <w:pPr>
              <w:spacing w:line="276" w:lineRule="auto"/>
              <w:ind w:leftChars="-5" w:left="-11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基　準</w:t>
            </w: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報　　酬　　区　　分</w:t>
            </w:r>
          </w:p>
        </w:tc>
        <w:tc>
          <w:tcPr>
            <w:tcW w:w="1025" w:type="pct"/>
            <w:vAlign w:val="center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要　介　護　１　～　２</w:t>
            </w:r>
          </w:p>
        </w:tc>
        <w:tc>
          <w:tcPr>
            <w:tcW w:w="1075" w:type="pct"/>
            <w:vAlign w:val="center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要　介　護　３　～　５</w:t>
            </w:r>
          </w:p>
        </w:tc>
        <w:tc>
          <w:tcPr>
            <w:tcW w:w="717" w:type="pct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介護予防委託</w:t>
            </w:r>
          </w:p>
        </w:tc>
        <w:tc>
          <w:tcPr>
            <w:tcW w:w="617" w:type="pct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合　　　計</w:t>
            </w: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 w:val="restar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 w:val="restart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減算</w:t>
            </w:r>
          </w:p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なし</w:t>
            </w: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居宅介護支援費（Ⅰ）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 w:val="restart"/>
            <w:vAlign w:val="center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人×　　　　　　円</w:t>
            </w:r>
          </w:p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＝　</w:t>
            </w: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　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円</w:t>
            </w:r>
          </w:p>
        </w:tc>
        <w:tc>
          <w:tcPr>
            <w:tcW w:w="617" w:type="pct"/>
            <w:vMerge w:val="restart"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利用者数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人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報酬額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円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※２</w:t>
            </w: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 w:cs="ＭＳ 明朝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居宅介護支援費（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Ⅱ</w:t>
            </w:r>
            <w:r w:rsidRPr="00E519B1">
              <w:rPr>
                <w:rFonts w:asciiTheme="majorEastAsia" w:eastAsiaTheme="majorEastAsia" w:hAnsiTheme="majorEastAsia"/>
                <w:szCs w:val="14"/>
              </w:rPr>
              <w:t>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居宅介護支援費（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Ⅲ）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初回加算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入院時情報連携加算（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</w:t>
            </w:r>
            <w:r w:rsidRPr="00E519B1">
              <w:rPr>
                <w:rFonts w:asciiTheme="majorEastAsia" w:eastAsiaTheme="majorEastAsia" w:hAnsiTheme="majorEastAsia"/>
                <w:szCs w:val="14"/>
              </w:rPr>
              <w:t>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入院時情報連携加算（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Ⅱ）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退院・退所加算（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Ⅰ）イ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退院・退所加算（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Ⅰ）ロ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退院・退所加算（Ⅱ）イ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退院・退所加算（Ⅱ）ロ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退院・退所加算（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Ⅲ）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小規模多機能型居宅介護事業所連携加算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複合型ｻｰﾋﾞｽ事業所連携加算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緊急時等居宅ｶﾝﾌｧﾚﾝｽ加算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特定事業所加算（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特定事業所加算（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Ⅱ）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特定事業所加算（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Ⅲ）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特別地域加算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中山間小規模事業所加算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中山間ｻｰﾋﾞｽ提供加算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 w:val="restart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減算</w:t>
            </w:r>
          </w:p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あり</w:t>
            </w: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居宅介護支援費（Ⅰ）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 w:val="restart"/>
            <w:vAlign w:val="center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人×　　　　　　円</w:t>
            </w:r>
          </w:p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＝　</w:t>
            </w: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　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円</w:t>
            </w:r>
          </w:p>
        </w:tc>
        <w:tc>
          <w:tcPr>
            <w:tcW w:w="617" w:type="pct"/>
            <w:vMerge w:val="restart"/>
            <w:vAlign w:val="center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利用者数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人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報酬額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lastRenderedPageBreak/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  <w:u w:val="single"/>
              </w:rPr>
              <w:t xml:space="preserve">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円</w:t>
            </w:r>
          </w:p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※２</w:t>
            </w: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 w:cs="ＭＳ 明朝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居宅介護支援費（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Ⅱ</w:t>
            </w:r>
            <w:r w:rsidRPr="00E519B1">
              <w:rPr>
                <w:rFonts w:asciiTheme="majorEastAsia" w:eastAsiaTheme="majorEastAsia" w:hAnsiTheme="majorEastAsia"/>
                <w:szCs w:val="14"/>
              </w:rPr>
              <w:t>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居宅介護支援費（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Ⅲ）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入院時情報連携加算（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</w:t>
            </w:r>
            <w:r w:rsidRPr="00E519B1">
              <w:rPr>
                <w:rFonts w:asciiTheme="majorEastAsia" w:eastAsiaTheme="majorEastAsia" w:hAnsiTheme="majorEastAsia"/>
                <w:szCs w:val="14"/>
              </w:rPr>
              <w:t>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入院時情報連携加算（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Ⅱ）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退院・退所加算（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Ⅰ）イ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退院・退所加算（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Ⅰ）ロ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退院・退所加算（Ⅱ）イ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退院・退所加算（Ⅱ）ロ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退院・退所加算（</w:t>
            </w:r>
            <w:r w:rsidRPr="00E519B1">
              <w:rPr>
                <w:rFonts w:asciiTheme="majorEastAsia" w:eastAsiaTheme="majorEastAsia" w:hAnsiTheme="majorEastAsia" w:cs="ＭＳ 明朝"/>
                <w:szCs w:val="14"/>
              </w:rPr>
              <w:t>Ⅲ）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小規模多機能型居宅介護事業所連携加算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複合型ｻｰﾋﾞｽ事業所連携加算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緊急時等居宅ｶﾝﾌｧﾚﾝｽ加算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回×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特別地域加算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中山間小規模事業所加算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中山間ｻｰﾋﾞｽ提供加算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311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971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/>
                <w:szCs w:val="14"/>
              </w:rPr>
              <w:t>特定事業所集中加算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人×　　　　円＝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7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  <w:tr w:rsidR="00193274" w:rsidRPr="00E519B1" w:rsidTr="00B517B0">
        <w:trPr>
          <w:trHeight w:val="286"/>
        </w:trPr>
        <w:tc>
          <w:tcPr>
            <w:tcW w:w="284" w:type="pct"/>
            <w:vMerge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1282" w:type="pct"/>
            <w:gridSpan w:val="2"/>
          </w:tcPr>
          <w:p w:rsidR="00193274" w:rsidRPr="00E519B1" w:rsidRDefault="00193274" w:rsidP="00B517B0">
            <w:pPr>
              <w:spacing w:line="276" w:lineRule="auto"/>
              <w:jc w:val="center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>合</w:t>
            </w:r>
            <w:r w:rsidRPr="00E519B1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>計</w:t>
            </w:r>
          </w:p>
        </w:tc>
        <w:tc>
          <w:tcPr>
            <w:tcW w:w="102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　　　　　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円</w:t>
            </w:r>
          </w:p>
        </w:tc>
        <w:tc>
          <w:tcPr>
            <w:tcW w:w="1075" w:type="pct"/>
          </w:tcPr>
          <w:p w:rsidR="00193274" w:rsidRPr="00E519B1" w:rsidRDefault="00193274" w:rsidP="00B517B0">
            <w:pPr>
              <w:spacing w:line="276" w:lineRule="auto"/>
              <w:jc w:val="right"/>
              <w:rPr>
                <w:rFonts w:asciiTheme="majorEastAsia" w:eastAsiaTheme="majorEastAsia" w:hAnsiTheme="majorEastAsia"/>
                <w:szCs w:val="14"/>
              </w:rPr>
            </w:pP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　人　　　　　　　　　　</w:t>
            </w:r>
            <w:r>
              <w:rPr>
                <w:rFonts w:asciiTheme="majorEastAsia" w:eastAsiaTheme="majorEastAsia" w:hAnsiTheme="majorEastAsia" w:hint="eastAsia"/>
                <w:szCs w:val="14"/>
              </w:rPr>
              <w:t xml:space="preserve">　</w:t>
            </w:r>
            <w:r w:rsidRPr="00E519B1">
              <w:rPr>
                <w:rFonts w:asciiTheme="majorEastAsia" w:eastAsiaTheme="majorEastAsia" w:hAnsiTheme="majorEastAsia" w:hint="eastAsia"/>
                <w:szCs w:val="14"/>
              </w:rPr>
              <w:t xml:space="preserve">　　円</w:t>
            </w:r>
          </w:p>
        </w:tc>
        <w:tc>
          <w:tcPr>
            <w:tcW w:w="717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  <w:tc>
          <w:tcPr>
            <w:tcW w:w="617" w:type="pct"/>
          </w:tcPr>
          <w:p w:rsidR="00193274" w:rsidRPr="00E519B1" w:rsidRDefault="00193274" w:rsidP="00B517B0">
            <w:pPr>
              <w:spacing w:line="276" w:lineRule="auto"/>
              <w:rPr>
                <w:rFonts w:asciiTheme="majorEastAsia" w:eastAsiaTheme="majorEastAsia" w:hAnsiTheme="majorEastAsia"/>
                <w:szCs w:val="14"/>
              </w:rPr>
            </w:pPr>
          </w:p>
        </w:tc>
      </w:tr>
    </w:tbl>
    <w:p w:rsidR="00684580" w:rsidRDefault="00684580">
      <w:pPr>
        <w:spacing w:after="0"/>
        <w:ind w:left="-782" w:right="-699"/>
      </w:pPr>
    </w:p>
    <w:sectPr w:rsidR="00684580" w:rsidSect="006309CC">
      <w:pgSz w:w="23814" w:h="16839" w:orient="landscape" w:code="8"/>
      <w:pgMar w:top="1440" w:right="1440" w:bottom="1313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93A" w:rsidRDefault="0022093A" w:rsidP="00746ADB">
      <w:pPr>
        <w:spacing w:after="0" w:line="240" w:lineRule="auto"/>
      </w:pPr>
      <w:r>
        <w:separator/>
      </w:r>
    </w:p>
  </w:endnote>
  <w:endnote w:type="continuationSeparator" w:id="0">
    <w:p w:rsidR="0022093A" w:rsidRDefault="0022093A" w:rsidP="0074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93A" w:rsidRDefault="0022093A" w:rsidP="00746ADB">
      <w:pPr>
        <w:spacing w:after="0" w:line="240" w:lineRule="auto"/>
      </w:pPr>
      <w:r>
        <w:separator/>
      </w:r>
    </w:p>
  </w:footnote>
  <w:footnote w:type="continuationSeparator" w:id="0">
    <w:p w:rsidR="0022093A" w:rsidRDefault="0022093A" w:rsidP="00746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80"/>
    <w:rsid w:val="00000E99"/>
    <w:rsid w:val="00193274"/>
    <w:rsid w:val="0022093A"/>
    <w:rsid w:val="00600FF7"/>
    <w:rsid w:val="006309CC"/>
    <w:rsid w:val="00684580"/>
    <w:rsid w:val="00746ADB"/>
    <w:rsid w:val="007D004A"/>
    <w:rsid w:val="00857041"/>
    <w:rsid w:val="00A868B7"/>
    <w:rsid w:val="00A979C9"/>
    <w:rsid w:val="00D5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D174F57-2ECB-42A6-8F05-9CDB30DB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right="6881"/>
      <w:jc w:val="right"/>
      <w:outlineLvl w:val="0"/>
    </w:pPr>
    <w:rPr>
      <w:rFonts w:ascii="Microsoft YaHei" w:eastAsia="Microsoft YaHei" w:hAnsi="Microsoft YaHei" w:cs="Microsoft YaHei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6"/>
    </w:rPr>
  </w:style>
  <w:style w:type="paragraph" w:styleId="a3">
    <w:name w:val="header"/>
    <w:basedOn w:val="a"/>
    <w:link w:val="a4"/>
    <w:uiPriority w:val="99"/>
    <w:unhideWhenUsed/>
    <w:rsid w:val="00746A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6AD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46A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6ADB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79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79C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59"/>
    <w:rsid w:val="0019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寿美</dc:creator>
  <cp:keywords/>
  <cp:lastModifiedBy>渡邊 寿美</cp:lastModifiedBy>
  <cp:revision>8</cp:revision>
  <cp:lastPrinted>2018-05-24T04:16:00Z</cp:lastPrinted>
  <dcterms:created xsi:type="dcterms:W3CDTF">2018-05-23T06:47:00Z</dcterms:created>
  <dcterms:modified xsi:type="dcterms:W3CDTF">2018-06-01T00:33:00Z</dcterms:modified>
</cp:coreProperties>
</file>